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76AA2" w14:textId="77777777" w:rsidR="00652EBD" w:rsidRPr="004E5970" w:rsidRDefault="00371B00" w:rsidP="00A41E67">
      <w:pPr>
        <w:jc w:val="center"/>
        <w:rPr>
          <w:rFonts w:ascii="Times New Roman" w:hAnsi="Times New Roman" w:cs="Times New Roman"/>
          <w:b/>
          <w:sz w:val="30"/>
          <w:u w:val="single"/>
        </w:rPr>
      </w:pPr>
      <w:r w:rsidRPr="004E5970">
        <w:rPr>
          <w:rFonts w:ascii="Times New Roman" w:hAnsi="Times New Roman" w:cs="Times New Roman"/>
          <w:b/>
          <w:sz w:val="30"/>
          <w:u w:val="single"/>
        </w:rPr>
        <w:t xml:space="preserve">SOP - </w:t>
      </w:r>
      <w:r w:rsidR="00A41E67" w:rsidRPr="004E5970">
        <w:rPr>
          <w:rFonts w:ascii="Times New Roman" w:hAnsi="Times New Roman" w:cs="Times New Roman"/>
          <w:b/>
          <w:sz w:val="30"/>
          <w:u w:val="single"/>
        </w:rPr>
        <w:t>Conduct of PhD Defence</w:t>
      </w:r>
    </w:p>
    <w:p w14:paraId="4682C7C8" w14:textId="77777777" w:rsidR="005E4D5C" w:rsidRPr="003D7A95" w:rsidRDefault="005E4D5C" w:rsidP="005E4D5C">
      <w:pPr>
        <w:rPr>
          <w:rFonts w:ascii="Times New Roman" w:hAnsi="Times New Roman" w:cs="Times New Roman"/>
          <w:sz w:val="24"/>
        </w:rPr>
      </w:pPr>
    </w:p>
    <w:p w14:paraId="4881A8FD" w14:textId="7618A4BA" w:rsidR="00F076EA" w:rsidRPr="003D7A95" w:rsidRDefault="00F076EA" w:rsidP="00DA257D">
      <w:pPr>
        <w:jc w:val="both"/>
        <w:rPr>
          <w:rFonts w:ascii="Times New Roman" w:hAnsi="Times New Roman" w:cs="Times New Roman"/>
          <w:sz w:val="24"/>
        </w:rPr>
      </w:pPr>
      <w:r w:rsidRPr="003D7A95">
        <w:rPr>
          <w:rFonts w:ascii="Times New Roman" w:hAnsi="Times New Roman" w:cs="Times New Roman"/>
          <w:sz w:val="24"/>
        </w:rPr>
        <w:t xml:space="preserve">The overall responsibility </w:t>
      </w:r>
      <w:r w:rsidR="00474067" w:rsidRPr="003D7A95">
        <w:rPr>
          <w:rFonts w:ascii="Times New Roman" w:hAnsi="Times New Roman" w:cs="Times New Roman"/>
          <w:sz w:val="24"/>
        </w:rPr>
        <w:t>for the</w:t>
      </w:r>
      <w:r w:rsidRPr="003D7A95">
        <w:rPr>
          <w:rFonts w:ascii="Times New Roman" w:hAnsi="Times New Roman" w:cs="Times New Roman"/>
          <w:sz w:val="24"/>
        </w:rPr>
        <w:t xml:space="preserve"> smooth conduct of PhD Defense </w:t>
      </w:r>
      <w:r w:rsidR="003D7A95">
        <w:rPr>
          <w:rFonts w:ascii="Times New Roman" w:hAnsi="Times New Roman" w:cs="Times New Roman"/>
          <w:sz w:val="24"/>
        </w:rPr>
        <w:t>lies with the</w:t>
      </w:r>
      <w:r w:rsidRPr="003D7A95">
        <w:rPr>
          <w:rFonts w:ascii="Times New Roman" w:hAnsi="Times New Roman" w:cs="Times New Roman"/>
          <w:sz w:val="24"/>
        </w:rPr>
        <w:t xml:space="preserve"> DCE. The AC</w:t>
      </w:r>
      <w:r w:rsidR="00474067" w:rsidRPr="003D7A95">
        <w:rPr>
          <w:rFonts w:ascii="Times New Roman" w:hAnsi="Times New Roman" w:cs="Times New Roman"/>
          <w:sz w:val="24"/>
        </w:rPr>
        <w:t>B</w:t>
      </w:r>
      <w:r w:rsidRPr="003D7A95">
        <w:rPr>
          <w:rFonts w:ascii="Times New Roman" w:hAnsi="Times New Roman" w:cs="Times New Roman"/>
          <w:sz w:val="24"/>
        </w:rPr>
        <w:t xml:space="preserve"> (PG) to act as OPI for this activity.</w:t>
      </w:r>
    </w:p>
    <w:p w14:paraId="2A746E14" w14:textId="77777777" w:rsidR="003D7A95" w:rsidRDefault="003D7A95" w:rsidP="005E4D5C">
      <w:pPr>
        <w:rPr>
          <w:rFonts w:ascii="Times New Roman" w:hAnsi="Times New Roman" w:cs="Times New Roman"/>
          <w:sz w:val="24"/>
        </w:rPr>
      </w:pPr>
    </w:p>
    <w:p w14:paraId="2237121C" w14:textId="77777777" w:rsidR="005E4D5C" w:rsidRPr="003D7A95" w:rsidRDefault="005E4D5C" w:rsidP="005E4D5C">
      <w:pPr>
        <w:rPr>
          <w:rFonts w:ascii="Times New Roman" w:hAnsi="Times New Roman" w:cs="Times New Roman"/>
          <w:sz w:val="24"/>
        </w:rPr>
      </w:pPr>
      <w:r w:rsidRPr="003D7A95">
        <w:rPr>
          <w:rFonts w:ascii="Times New Roman" w:hAnsi="Times New Roman" w:cs="Times New Roman"/>
          <w:sz w:val="24"/>
        </w:rPr>
        <w:t xml:space="preserve">The Thesis </w:t>
      </w:r>
      <w:proofErr w:type="spellStart"/>
      <w:r w:rsidRPr="003D7A95">
        <w:rPr>
          <w:rFonts w:ascii="Times New Roman" w:hAnsi="Times New Roman" w:cs="Times New Roman"/>
          <w:sz w:val="24"/>
        </w:rPr>
        <w:t>Defence</w:t>
      </w:r>
      <w:proofErr w:type="spellEnd"/>
      <w:r w:rsidRPr="003D7A95">
        <w:rPr>
          <w:rFonts w:ascii="Times New Roman" w:hAnsi="Times New Roman" w:cs="Times New Roman"/>
          <w:sz w:val="24"/>
        </w:rPr>
        <w:t xml:space="preserve"> of PhD students will be conducted as under: -</w:t>
      </w:r>
    </w:p>
    <w:tbl>
      <w:tblPr>
        <w:tblStyle w:val="TableGrid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8245"/>
        <w:gridCol w:w="1842"/>
      </w:tblGrid>
      <w:tr w:rsidR="00D115B5" w:rsidRPr="003D7A95" w14:paraId="24119C4C" w14:textId="77777777" w:rsidTr="00E513B2">
        <w:trPr>
          <w:trHeight w:val="424"/>
        </w:trPr>
        <w:tc>
          <w:tcPr>
            <w:tcW w:w="970" w:type="dxa"/>
          </w:tcPr>
          <w:p w14:paraId="35BE7678" w14:textId="77777777" w:rsidR="00A41E67" w:rsidRPr="003D7A95" w:rsidRDefault="00A41E67" w:rsidP="00A612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45" w:type="dxa"/>
          </w:tcPr>
          <w:p w14:paraId="66D39935" w14:textId="77777777" w:rsidR="00A41E67" w:rsidRPr="003D7A95" w:rsidRDefault="00A41E67" w:rsidP="0073312B">
            <w:pPr>
              <w:pStyle w:val="ListParagraph"/>
              <w:spacing w:line="360" w:lineRule="auto"/>
              <w:ind w:left="0" w:right="35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5EA96842" w14:textId="77777777" w:rsidR="00A41E67" w:rsidRPr="003D7A95" w:rsidRDefault="00A41E67" w:rsidP="00A45C7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D7A95">
              <w:rPr>
                <w:rFonts w:ascii="Times New Roman" w:hAnsi="Times New Roman" w:cs="Times New Roman"/>
                <w:b/>
                <w:sz w:val="24"/>
              </w:rPr>
              <w:t>Responsibility</w:t>
            </w:r>
          </w:p>
        </w:tc>
      </w:tr>
      <w:tr w:rsidR="00071B7B" w:rsidRPr="003D7A95" w14:paraId="47817016" w14:textId="77777777" w:rsidTr="00E513B2">
        <w:trPr>
          <w:trHeight w:val="880"/>
        </w:trPr>
        <w:tc>
          <w:tcPr>
            <w:tcW w:w="970" w:type="dxa"/>
          </w:tcPr>
          <w:p w14:paraId="52A5CDCD" w14:textId="77777777" w:rsidR="00071B7B" w:rsidRPr="003D7A95" w:rsidRDefault="00071B7B" w:rsidP="00A6128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5" w:type="dxa"/>
          </w:tcPr>
          <w:p w14:paraId="5955E90D" w14:textId="77777777" w:rsidR="00412F84" w:rsidRPr="003D7A95" w:rsidRDefault="00412F84" w:rsidP="0073312B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hAnsi="Times New Roman" w:cs="Times New Roman"/>
                <w:b/>
                <w:sz w:val="24"/>
                <w:szCs w:val="24"/>
              </w:rPr>
              <w:t>In House Defense:</w:t>
            </w:r>
            <w:r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D5022C" w14:textId="4FDA7083" w:rsidR="00071B7B" w:rsidRPr="003D7A95" w:rsidRDefault="00071B7B" w:rsidP="0073312B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Prior to final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, in-house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 will be held at-least </w:t>
            </w:r>
            <w:r w:rsidR="007A712C" w:rsidRPr="003D7A95">
              <w:rPr>
                <w:rFonts w:ascii="Times New Roman" w:hAnsi="Times New Roman" w:cs="Times New Roman"/>
                <w:sz w:val="24"/>
                <w:szCs w:val="24"/>
              </w:rPr>
              <w:t>7-8 weeks</w:t>
            </w:r>
            <w:r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 before final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="007A712C"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 where student will present 1</w:t>
            </w:r>
            <w:r w:rsidR="007A712C" w:rsidRPr="003D7A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7A712C"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 draft of his/her thesis</w:t>
            </w:r>
            <w:r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. In-house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 will be attended by the Principal, GEC members, S.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>HoDs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, Concerned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 and Knowledge Head (in case of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 students)</w:t>
            </w:r>
            <w:r w:rsidR="007A712C"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 and DCE</w:t>
            </w:r>
            <w:r w:rsidRPr="003D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555"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 Proper attendance </w:t>
            </w:r>
            <w:r w:rsidR="00A61286" w:rsidRPr="003D7A95">
              <w:rPr>
                <w:rFonts w:ascii="Times New Roman" w:hAnsi="Times New Roman" w:cs="Times New Roman"/>
                <w:sz w:val="24"/>
                <w:szCs w:val="24"/>
              </w:rPr>
              <w:t>sheet of all the participants will be maintained.</w:t>
            </w:r>
          </w:p>
          <w:p w14:paraId="2FC11D83" w14:textId="551796B0" w:rsidR="00167B2A" w:rsidRPr="003D7A95" w:rsidRDefault="00167B2A" w:rsidP="0087304F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186" w:right="352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DCE will initiate the process of scheduling the In-house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 10 weeks prior to the scheduling of the Final </w:t>
            </w:r>
            <w:r w:rsidR="0087304F" w:rsidRPr="003D7A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D7A95">
              <w:rPr>
                <w:rFonts w:ascii="Times New Roman" w:hAnsi="Times New Roman" w:cs="Times New Roman"/>
                <w:sz w:val="24"/>
                <w:szCs w:val="24"/>
              </w:rPr>
              <w:t>efense upon the request of the supervisor of the student. The complete file with the details about the student, supervisor, thesis title, abstract, list of publications should be moved.</w:t>
            </w:r>
          </w:p>
          <w:p w14:paraId="1E960807" w14:textId="68590405" w:rsidR="00167B2A" w:rsidRPr="003D7A95" w:rsidRDefault="00167B2A" w:rsidP="0087304F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186" w:right="352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hAnsi="Times New Roman" w:cs="Times New Roman"/>
                <w:sz w:val="24"/>
                <w:szCs w:val="24"/>
              </w:rPr>
              <w:t>The minutes</w:t>
            </w:r>
            <w:r w:rsidR="0087304F"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 of meeting</w:t>
            </w:r>
            <w:r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 would be taken by DCE regarding the deficiencies in terms of NUST Statutes.</w:t>
            </w:r>
          </w:p>
          <w:p w14:paraId="7CBEBB6C" w14:textId="3E888278" w:rsidR="00167B2A" w:rsidRPr="003D7A95" w:rsidRDefault="00167B2A" w:rsidP="0087304F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186" w:right="352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The PG/PhD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>Coord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04F" w:rsidRPr="003D7A9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D7A95">
              <w:rPr>
                <w:rFonts w:ascii="Times New Roman" w:hAnsi="Times New Roman" w:cs="Times New Roman"/>
                <w:sz w:val="24"/>
                <w:szCs w:val="24"/>
              </w:rPr>
              <w:t xml:space="preserve">f the department would take the minutes of meeting regarding the technical comments. </w:t>
            </w:r>
          </w:p>
          <w:p w14:paraId="3C2917FE" w14:textId="77777777" w:rsidR="00071B7B" w:rsidRPr="003D7A95" w:rsidRDefault="00071B7B" w:rsidP="0073312B">
            <w:pPr>
              <w:pStyle w:val="ListParagraph"/>
              <w:spacing w:line="360" w:lineRule="auto"/>
              <w:ind w:left="0" w:right="35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7C3EF4F" w14:textId="77777777" w:rsidR="004F33E6" w:rsidRDefault="004F33E6" w:rsidP="004F33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0F8A4B8F" w14:textId="49728355" w:rsidR="00071B7B" w:rsidRPr="003D7A95" w:rsidRDefault="00071B7B" w:rsidP="004740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Supvr</w:t>
            </w:r>
            <w:proofErr w:type="spellEnd"/>
            <w:r w:rsidR="00C00D9C" w:rsidRPr="003D7A95">
              <w:rPr>
                <w:rFonts w:ascii="Times New Roman" w:hAnsi="Times New Roman" w:cs="Times New Roman"/>
                <w:sz w:val="24"/>
              </w:rPr>
              <w:t>/DCE</w:t>
            </w:r>
            <w:r w:rsidR="00412F84" w:rsidRPr="003D7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F530E" w:rsidRPr="003D7A95" w14:paraId="5AA17202" w14:textId="77777777" w:rsidTr="00E513B2">
        <w:trPr>
          <w:trHeight w:val="880"/>
        </w:trPr>
        <w:tc>
          <w:tcPr>
            <w:tcW w:w="970" w:type="dxa"/>
          </w:tcPr>
          <w:p w14:paraId="205084E2" w14:textId="77777777" w:rsidR="00CF530E" w:rsidRPr="003D7A95" w:rsidRDefault="00CF530E" w:rsidP="00412F84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5" w:type="dxa"/>
          </w:tcPr>
          <w:p w14:paraId="6ECA1E43" w14:textId="62C2F3B8" w:rsidR="00CF530E" w:rsidRPr="003D7A95" w:rsidRDefault="00CF530E" w:rsidP="00CF53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>Outline of the PhD Presentation must contain the following subheads as a minimum. Additional subheads may be included after necessary approval from the PhD Advisor:-</w:t>
            </w:r>
          </w:p>
          <w:p w14:paraId="5AF7DB30" w14:textId="77777777" w:rsidR="00CF530E" w:rsidRPr="003D7A95" w:rsidRDefault="00CF530E" w:rsidP="00CF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09B06" w14:textId="40ECDBFB" w:rsidR="00CF530E" w:rsidRPr="003D7A95" w:rsidRDefault="00CF530E" w:rsidP="00CF530E">
            <w:pPr>
              <w:pStyle w:val="ListParagraph"/>
              <w:numPr>
                <w:ilvl w:val="0"/>
                <w:numId w:val="4"/>
              </w:numPr>
              <w:ind w:left="1186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</w:p>
          <w:p w14:paraId="3968262C" w14:textId="77777777" w:rsidR="00CF530E" w:rsidRPr="003D7A95" w:rsidRDefault="00CF530E" w:rsidP="00CF530E">
            <w:pPr>
              <w:ind w:left="1186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D3C86" w14:textId="1529C87D" w:rsidR="00CF530E" w:rsidRPr="003D7A95" w:rsidRDefault="00CF530E" w:rsidP="00CF530E">
            <w:pPr>
              <w:pStyle w:val="ListParagraph"/>
              <w:numPr>
                <w:ilvl w:val="0"/>
                <w:numId w:val="4"/>
              </w:numPr>
              <w:ind w:left="1186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Motivation</w:t>
            </w:r>
          </w:p>
          <w:p w14:paraId="2457D904" w14:textId="77777777" w:rsidR="00CF530E" w:rsidRPr="003D7A95" w:rsidRDefault="00CF530E" w:rsidP="00CF530E">
            <w:pPr>
              <w:ind w:left="1186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D3D5A" w14:textId="79C2881C" w:rsidR="00CF530E" w:rsidRPr="003D7A95" w:rsidRDefault="00CF530E" w:rsidP="00CF530E">
            <w:pPr>
              <w:pStyle w:val="ListParagraph"/>
              <w:numPr>
                <w:ilvl w:val="0"/>
                <w:numId w:val="4"/>
              </w:numPr>
              <w:ind w:left="1186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Problem</w:t>
            </w:r>
          </w:p>
          <w:p w14:paraId="379789CD" w14:textId="77777777" w:rsidR="00CF530E" w:rsidRPr="003D7A95" w:rsidRDefault="00CF530E" w:rsidP="00CF530E">
            <w:pPr>
              <w:ind w:left="1186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E4AB9" w14:textId="3699C16B" w:rsidR="00CF530E" w:rsidRPr="003D7A95" w:rsidRDefault="00CF530E" w:rsidP="00CF530E">
            <w:pPr>
              <w:pStyle w:val="ListParagraph"/>
              <w:numPr>
                <w:ilvl w:val="0"/>
                <w:numId w:val="4"/>
              </w:numPr>
              <w:ind w:left="1186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Methodology</w:t>
            </w:r>
          </w:p>
          <w:p w14:paraId="2CD57F76" w14:textId="77777777" w:rsidR="00CF530E" w:rsidRPr="003D7A95" w:rsidRDefault="00CF530E" w:rsidP="00CF530E">
            <w:pPr>
              <w:ind w:left="1186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7AD0F" w14:textId="454F87E0" w:rsidR="00CF530E" w:rsidRDefault="00CF530E" w:rsidP="00CF530E">
            <w:pPr>
              <w:pStyle w:val="ListParagraph"/>
              <w:numPr>
                <w:ilvl w:val="0"/>
                <w:numId w:val="4"/>
              </w:numPr>
              <w:ind w:left="1186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>Results &amp; Observations</w:t>
            </w:r>
          </w:p>
          <w:p w14:paraId="0615D437" w14:textId="77777777" w:rsidR="004E5970" w:rsidRPr="003D7A95" w:rsidRDefault="004E5970" w:rsidP="004E5970">
            <w:pPr>
              <w:pStyle w:val="ListParagraph"/>
              <w:ind w:left="1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6CE1A" w14:textId="77777777" w:rsidR="00CF530E" w:rsidRPr="003D7A95" w:rsidRDefault="00CF530E" w:rsidP="00CF530E">
            <w:pPr>
              <w:ind w:left="1186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D7105" w14:textId="01829163" w:rsidR="00CF530E" w:rsidRPr="003D7A95" w:rsidRDefault="00CF530E" w:rsidP="00CF530E">
            <w:pPr>
              <w:pStyle w:val="ListParagraph"/>
              <w:numPr>
                <w:ilvl w:val="0"/>
                <w:numId w:val="4"/>
              </w:numPr>
              <w:ind w:left="1186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Conclusion</w:t>
            </w:r>
          </w:p>
          <w:p w14:paraId="7D85A1C8" w14:textId="77777777" w:rsidR="00CF530E" w:rsidRPr="003D7A95" w:rsidRDefault="00CF530E" w:rsidP="00CF530E">
            <w:pPr>
              <w:ind w:left="1186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9C751D" w14:textId="6603F0C3" w:rsidR="00CF530E" w:rsidRPr="003D7A95" w:rsidRDefault="00CF530E" w:rsidP="00CF530E">
            <w:pPr>
              <w:pStyle w:val="ListParagraph"/>
              <w:numPr>
                <w:ilvl w:val="0"/>
                <w:numId w:val="4"/>
              </w:numPr>
              <w:ind w:left="1186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>Future Research</w:t>
            </w:r>
          </w:p>
          <w:p w14:paraId="4C069A2F" w14:textId="206823A3" w:rsidR="00CF530E" w:rsidRPr="003D7A95" w:rsidRDefault="00CF530E" w:rsidP="0073312B">
            <w:pPr>
              <w:pStyle w:val="ListParagraph"/>
              <w:ind w:left="0"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55CCE0" w14:textId="54B44929" w:rsidR="00CF530E" w:rsidRPr="003D7A95" w:rsidRDefault="002D01CA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lastRenderedPageBreak/>
              <w:t>Student/Supvr</w:t>
            </w:r>
          </w:p>
        </w:tc>
      </w:tr>
      <w:tr w:rsidR="00E513B2" w:rsidRPr="003D7A95" w14:paraId="3F200FB5" w14:textId="77777777" w:rsidTr="00E513B2">
        <w:trPr>
          <w:trHeight w:val="880"/>
        </w:trPr>
        <w:tc>
          <w:tcPr>
            <w:tcW w:w="970" w:type="dxa"/>
          </w:tcPr>
          <w:p w14:paraId="4B28EB29" w14:textId="77777777" w:rsidR="00E513B2" w:rsidRPr="003D7A95" w:rsidRDefault="00E513B2" w:rsidP="00412F84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5" w:type="dxa"/>
          </w:tcPr>
          <w:p w14:paraId="62EC88C0" w14:textId="77777777" w:rsidR="00E513B2" w:rsidRPr="003D7A95" w:rsidRDefault="00E513B2" w:rsidP="00E51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>The sequence of presentation will be as under: -</w:t>
            </w:r>
          </w:p>
          <w:p w14:paraId="61C05D5F" w14:textId="27471CF2" w:rsidR="00E513B2" w:rsidRPr="003D7A95" w:rsidRDefault="00E513B2" w:rsidP="00E513B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86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>Tilawat</w:t>
            </w:r>
          </w:p>
          <w:p w14:paraId="0AC3B958" w14:textId="6A12A33A" w:rsidR="00A83B4D" w:rsidRPr="003D7A95" w:rsidRDefault="00E513B2" w:rsidP="00E513B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86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of Student (by President-in-Chair)</w:t>
            </w:r>
          </w:p>
          <w:p w14:paraId="00D33766" w14:textId="77777777" w:rsidR="00A83B4D" w:rsidRPr="003D7A95" w:rsidRDefault="00E513B2" w:rsidP="00E513B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86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Presentation by the Student (30 to 45 </w:t>
            </w:r>
            <w:proofErr w:type="spellStart"/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20105EB" w14:textId="77777777" w:rsidR="00A83B4D" w:rsidRPr="003D7A95" w:rsidRDefault="00E513B2" w:rsidP="00E513B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86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 Answer Session lead by Chair of PhD </w:t>
            </w:r>
            <w:proofErr w:type="spellStart"/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4CD540" w14:textId="3301490B" w:rsidR="00A83B4D" w:rsidRPr="003D7A95" w:rsidRDefault="00E513B2" w:rsidP="00E513B2">
            <w:pPr>
              <w:pStyle w:val="ListParagraph"/>
              <w:numPr>
                <w:ilvl w:val="0"/>
                <w:numId w:val="8"/>
              </w:numPr>
              <w:tabs>
                <w:tab w:val="left" w:pos="3200"/>
              </w:tabs>
              <w:spacing w:line="360" w:lineRule="auto"/>
              <w:ind w:left="1186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>Voting</w:t>
            </w: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A9DC520" w14:textId="77777777" w:rsidR="00A83B4D" w:rsidRPr="003D7A95" w:rsidRDefault="00E513B2" w:rsidP="00E513B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86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</w:rPr>
              <w:t>Announcement of Result to Student</w:t>
            </w:r>
          </w:p>
          <w:p w14:paraId="7BD2672C" w14:textId="0F973FF5" w:rsidR="00E513B2" w:rsidRPr="003D7A95" w:rsidRDefault="00E513B2" w:rsidP="00CF5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CCF6AC" w14:textId="6CB11011" w:rsidR="00E513B2" w:rsidRPr="003D7A95" w:rsidRDefault="00E513B2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>Student/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Supvr</w:t>
            </w:r>
            <w:proofErr w:type="spellEnd"/>
          </w:p>
        </w:tc>
      </w:tr>
      <w:tr w:rsidR="00287555" w:rsidRPr="003D7A95" w14:paraId="6584E55C" w14:textId="77777777" w:rsidTr="00E513B2">
        <w:trPr>
          <w:trHeight w:val="1448"/>
        </w:trPr>
        <w:tc>
          <w:tcPr>
            <w:tcW w:w="970" w:type="dxa"/>
          </w:tcPr>
          <w:p w14:paraId="4BB5CC3D" w14:textId="37D3D0FC" w:rsidR="00412F84" w:rsidRPr="003D7A95" w:rsidRDefault="00412F84" w:rsidP="00412F84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  <w:p w14:paraId="13A45810" w14:textId="77777777" w:rsidR="00412F84" w:rsidRPr="003D7A95" w:rsidRDefault="00412F84" w:rsidP="00412F84"/>
          <w:p w14:paraId="14D5665F" w14:textId="77777777" w:rsidR="00412F84" w:rsidRPr="003D7A95" w:rsidRDefault="00412F84" w:rsidP="00412F84"/>
          <w:p w14:paraId="54052DC2" w14:textId="59C4FC30" w:rsidR="00412F84" w:rsidRPr="003D7A95" w:rsidRDefault="00412F84" w:rsidP="00412F84"/>
          <w:p w14:paraId="61D354C0" w14:textId="77777777" w:rsidR="00287555" w:rsidRPr="003D7A95" w:rsidRDefault="00287555" w:rsidP="009268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14:paraId="52902E18" w14:textId="77777777" w:rsidR="00412F84" w:rsidRPr="003D7A95" w:rsidRDefault="00287555" w:rsidP="00CF530E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 xml:space="preserve">During the in-house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defence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>, if there is any question which could not be answered by the student, he/she will prepare and present the reply within one week.</w:t>
            </w:r>
          </w:p>
          <w:p w14:paraId="6E7D7190" w14:textId="77777777" w:rsidR="00412F84" w:rsidRPr="003D7A95" w:rsidRDefault="00412F84" w:rsidP="00412F84">
            <w:pPr>
              <w:ind w:right="35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7A95">
              <w:rPr>
                <w:rFonts w:ascii="Times New Roman" w:hAnsi="Times New Roman" w:cs="Times New Roman"/>
                <w:b/>
                <w:sz w:val="24"/>
              </w:rPr>
              <w:t>Pre Final Defense Actions:</w:t>
            </w:r>
          </w:p>
          <w:p w14:paraId="162DC01C" w14:textId="0421EBDE" w:rsidR="009268D5" w:rsidRPr="003D7A95" w:rsidRDefault="009268D5" w:rsidP="00412F84">
            <w:pPr>
              <w:ind w:right="35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742FB6CE" w14:textId="77777777" w:rsidR="00287555" w:rsidRPr="003D7A95" w:rsidRDefault="00C00D9C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>Student/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Supvr</w:t>
            </w:r>
            <w:proofErr w:type="spellEnd"/>
          </w:p>
        </w:tc>
      </w:tr>
      <w:tr w:rsidR="00D115B5" w:rsidRPr="003D7A95" w14:paraId="327FD033" w14:textId="77777777" w:rsidTr="00E513B2">
        <w:trPr>
          <w:trHeight w:val="880"/>
        </w:trPr>
        <w:tc>
          <w:tcPr>
            <w:tcW w:w="970" w:type="dxa"/>
          </w:tcPr>
          <w:p w14:paraId="365FE33F" w14:textId="77777777" w:rsidR="00A41E67" w:rsidRPr="003D7A95" w:rsidRDefault="00A41E67" w:rsidP="009268D5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5" w:type="dxa"/>
          </w:tcPr>
          <w:p w14:paraId="179DC626" w14:textId="77777777" w:rsidR="00A41E67" w:rsidRPr="003D7A95" w:rsidRDefault="00A41E67" w:rsidP="0073312B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 xml:space="preserve">Profile of the student will be provided by the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Supvr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 xml:space="preserve"> and DCE</w:t>
            </w:r>
            <w:r w:rsidR="00CA64E2" w:rsidRPr="003D7A95">
              <w:rPr>
                <w:rFonts w:ascii="Times New Roman" w:hAnsi="Times New Roman" w:cs="Times New Roman"/>
                <w:sz w:val="24"/>
              </w:rPr>
              <w:t xml:space="preserve"> mentioning dates for passing SSC, HSSC, Bachelors and MS degrees.</w:t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64E2" w:rsidRPr="003D7A95">
              <w:rPr>
                <w:rFonts w:ascii="Times New Roman" w:hAnsi="Times New Roman" w:cs="Times New Roman"/>
                <w:sz w:val="24"/>
              </w:rPr>
              <w:t>This profile</w:t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 will be read by the President in-</w:t>
            </w:r>
            <w:r w:rsidR="00C00D9C" w:rsidRPr="003D7A95">
              <w:rPr>
                <w:rFonts w:ascii="Times New Roman" w:hAnsi="Times New Roman" w:cs="Times New Roman"/>
                <w:sz w:val="24"/>
              </w:rPr>
              <w:t>C</w:t>
            </w:r>
            <w:r w:rsidRPr="003D7A95">
              <w:rPr>
                <w:rFonts w:ascii="Times New Roman" w:hAnsi="Times New Roman" w:cs="Times New Roman"/>
                <w:sz w:val="24"/>
              </w:rPr>
              <w:t>hair (Principal)</w:t>
            </w:r>
            <w:r w:rsidR="005E7925" w:rsidRPr="003D7A95">
              <w:rPr>
                <w:rFonts w:ascii="Times New Roman" w:hAnsi="Times New Roman" w:cs="Times New Roman"/>
                <w:sz w:val="24"/>
              </w:rPr>
              <w:t>.</w:t>
            </w:r>
          </w:p>
          <w:p w14:paraId="1AC7669D" w14:textId="77777777" w:rsidR="00D115B5" w:rsidRPr="003D7A95" w:rsidRDefault="00D115B5" w:rsidP="0073312B">
            <w:pPr>
              <w:pStyle w:val="ListParagraph"/>
              <w:spacing w:line="360" w:lineRule="auto"/>
              <w:ind w:left="0" w:right="35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EB86176" w14:textId="662F4547" w:rsidR="00A41E67" w:rsidRPr="003D7A95" w:rsidRDefault="00A41E67" w:rsidP="004740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Supvr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>/DCE</w:t>
            </w:r>
            <w:r w:rsidR="009268D5" w:rsidRPr="003D7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115B5" w:rsidRPr="003D7A95" w14:paraId="43F72BA0" w14:textId="77777777" w:rsidTr="00E513B2">
        <w:trPr>
          <w:trHeight w:val="880"/>
        </w:trPr>
        <w:tc>
          <w:tcPr>
            <w:tcW w:w="970" w:type="dxa"/>
          </w:tcPr>
          <w:p w14:paraId="6C62F065" w14:textId="77777777" w:rsidR="00A41E67" w:rsidRPr="003D7A95" w:rsidRDefault="00A41E67" w:rsidP="009268D5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5" w:type="dxa"/>
          </w:tcPr>
          <w:p w14:paraId="2AAD318D" w14:textId="77777777" w:rsidR="00A41E67" w:rsidRPr="003D7A95" w:rsidRDefault="00A41E67" w:rsidP="0073312B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 xml:space="preserve">Student shall provide copies of thesis to all the members of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defence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 xml:space="preserve"> committee at least 04 weeks before the defence/08 weeks in case of foreign evaluators</w:t>
            </w:r>
            <w:r w:rsidR="00C00D9C" w:rsidRPr="003D7A95">
              <w:rPr>
                <w:rFonts w:ascii="Times New Roman" w:hAnsi="Times New Roman" w:cs="Times New Roman"/>
                <w:sz w:val="24"/>
              </w:rPr>
              <w:t>.</w:t>
            </w:r>
          </w:p>
          <w:p w14:paraId="5152C690" w14:textId="77777777" w:rsidR="00D115B5" w:rsidRPr="003D7A95" w:rsidRDefault="00D115B5" w:rsidP="0073312B">
            <w:pPr>
              <w:pStyle w:val="ListParagraph"/>
              <w:spacing w:line="360" w:lineRule="auto"/>
              <w:ind w:left="0" w:right="35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F986211" w14:textId="59AB8FFA" w:rsidR="00A41E67" w:rsidRPr="003D7A95" w:rsidRDefault="00A41E67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>Student</w:t>
            </w:r>
            <w:r w:rsidR="009268D5" w:rsidRPr="003D7A95">
              <w:rPr>
                <w:rFonts w:ascii="Times New Roman" w:hAnsi="Times New Roman" w:cs="Times New Roman"/>
                <w:sz w:val="24"/>
              </w:rPr>
              <w:t>/ Supervisor</w:t>
            </w:r>
          </w:p>
        </w:tc>
      </w:tr>
      <w:tr w:rsidR="00E97D4D" w:rsidRPr="003D7A95" w14:paraId="2E60379A" w14:textId="77777777" w:rsidTr="00E513B2">
        <w:trPr>
          <w:trHeight w:val="773"/>
        </w:trPr>
        <w:tc>
          <w:tcPr>
            <w:tcW w:w="970" w:type="dxa"/>
          </w:tcPr>
          <w:p w14:paraId="4F8E4462" w14:textId="77777777" w:rsidR="00E97D4D" w:rsidRPr="003D7A95" w:rsidRDefault="00E97D4D" w:rsidP="009268D5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5" w:type="dxa"/>
          </w:tcPr>
          <w:p w14:paraId="1FE237D3" w14:textId="58F2F613" w:rsidR="00E97D4D" w:rsidRPr="003D7A95" w:rsidRDefault="00E97D4D" w:rsidP="0073312B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 xml:space="preserve">All </w:t>
            </w:r>
            <w:r w:rsidR="00111953" w:rsidRPr="003D7A95">
              <w:rPr>
                <w:rFonts w:ascii="Times New Roman" w:hAnsi="Times New Roman" w:cs="Times New Roman"/>
                <w:sz w:val="24"/>
              </w:rPr>
              <w:t xml:space="preserve">SEECS </w:t>
            </w:r>
            <w:r w:rsidRPr="003D7A95">
              <w:rPr>
                <w:rFonts w:ascii="Times New Roman" w:hAnsi="Times New Roman" w:cs="Times New Roman"/>
                <w:sz w:val="24"/>
              </w:rPr>
              <w:t>PhD faculty appointed as GEC member of any PhD student, will attend the seminar. Furthermore, presence of at-least t</w:t>
            </w:r>
            <w:r w:rsidR="00111953" w:rsidRPr="003D7A95">
              <w:rPr>
                <w:rFonts w:ascii="Times New Roman" w:hAnsi="Times New Roman" w:cs="Times New Roman"/>
                <w:sz w:val="24"/>
              </w:rPr>
              <w:t xml:space="preserve">wo members out of concerned </w:t>
            </w:r>
            <w:proofErr w:type="spellStart"/>
            <w:r w:rsidR="003D2DD0">
              <w:rPr>
                <w:rFonts w:ascii="Times New Roman" w:hAnsi="Times New Roman" w:cs="Times New Roman"/>
                <w:sz w:val="24"/>
              </w:rPr>
              <w:t>Dept</w:t>
            </w:r>
            <w:proofErr w:type="spellEnd"/>
            <w:r w:rsidR="003D2DD0">
              <w:rPr>
                <w:rFonts w:ascii="Times New Roman" w:hAnsi="Times New Roman" w:cs="Times New Roman"/>
                <w:sz w:val="24"/>
              </w:rPr>
              <w:t xml:space="preserve">/KG including </w:t>
            </w:r>
            <w:proofErr w:type="spellStart"/>
            <w:r w:rsidR="00111953" w:rsidRPr="003D7A95">
              <w:rPr>
                <w:rFonts w:ascii="Times New Roman" w:hAnsi="Times New Roman" w:cs="Times New Roman"/>
                <w:sz w:val="24"/>
              </w:rPr>
              <w:t>HoD</w:t>
            </w:r>
            <w:proofErr w:type="spellEnd"/>
            <w:r w:rsidR="00111953" w:rsidRPr="003D7A9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S.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HoD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 xml:space="preserve"> and Principal/Dean will be mandatory. In case of absence of</w:t>
            </w:r>
            <w:r w:rsidR="00111953" w:rsidRPr="003D7A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7A95">
              <w:rPr>
                <w:rFonts w:ascii="Times New Roman" w:hAnsi="Times New Roman" w:cs="Times New Roman"/>
                <w:sz w:val="24"/>
              </w:rPr>
              <w:t>3</w:t>
            </w:r>
            <w:r w:rsidRPr="003D7A95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 member, his</w:t>
            </w:r>
            <w:r w:rsidR="003D2DD0">
              <w:rPr>
                <w:rFonts w:ascii="Times New Roman" w:hAnsi="Times New Roman" w:cs="Times New Roman"/>
                <w:sz w:val="24"/>
              </w:rPr>
              <w:t>/her</w:t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 replacement will be nominated to attend the</w:t>
            </w:r>
            <w:r w:rsidR="003D2DD0">
              <w:rPr>
                <w:rFonts w:ascii="Times New Roman" w:hAnsi="Times New Roman" w:cs="Times New Roman"/>
                <w:sz w:val="24"/>
              </w:rPr>
              <w:t xml:space="preserve"> final</w:t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defence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>.</w:t>
            </w:r>
          </w:p>
          <w:p w14:paraId="04ACFA92" w14:textId="77777777" w:rsidR="003D2DD0" w:rsidRDefault="003D2DD0" w:rsidP="0073312B">
            <w:pPr>
              <w:pStyle w:val="ListParagraph"/>
              <w:spacing w:line="360" w:lineRule="auto"/>
              <w:ind w:left="0" w:right="352"/>
              <w:rPr>
                <w:rFonts w:ascii="Times New Roman" w:hAnsi="Times New Roman" w:cs="Times New Roman"/>
                <w:sz w:val="24"/>
              </w:rPr>
            </w:pPr>
          </w:p>
          <w:p w14:paraId="7B156204" w14:textId="77777777" w:rsidR="003D2DD0" w:rsidRDefault="003D2DD0" w:rsidP="00664013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A8E71B3" w14:textId="3CD119A2" w:rsidR="00A61286" w:rsidRPr="003D7A95" w:rsidRDefault="00664013" w:rsidP="00664013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>Before approaching PGP for a final date for the PhD defense of a student the DCE must ensure, via email / Phone call</w:t>
            </w:r>
            <w:r w:rsidR="00474067" w:rsidRPr="003D7A9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from all the internal and external evaluators (local) </w:t>
            </w:r>
            <w:r w:rsidR="00474067" w:rsidRPr="003D7A95">
              <w:rPr>
                <w:rFonts w:ascii="Times New Roman" w:hAnsi="Times New Roman" w:cs="Times New Roman"/>
                <w:sz w:val="24"/>
              </w:rPr>
              <w:t>that they would attend the PhD f</w:t>
            </w:r>
            <w:r w:rsidRPr="003D7A95">
              <w:rPr>
                <w:rFonts w:ascii="Times New Roman" w:hAnsi="Times New Roman" w:cs="Times New Roman"/>
                <w:sz w:val="24"/>
              </w:rPr>
              <w:t>inal defense physically.</w:t>
            </w:r>
          </w:p>
          <w:p w14:paraId="0E7B080B" w14:textId="77777777" w:rsidR="00664013" w:rsidRDefault="00664013" w:rsidP="00664013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84536C" w14:textId="6B7B3E39" w:rsidR="004E5970" w:rsidRPr="003D7A95" w:rsidRDefault="004E5970" w:rsidP="00664013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14:paraId="15AC98AE" w14:textId="77777777" w:rsidR="00E97D4D" w:rsidRPr="003D7A95" w:rsidRDefault="00691B60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 xml:space="preserve">S.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HoDs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Supvr</w:t>
            </w:r>
            <w:proofErr w:type="spellEnd"/>
          </w:p>
          <w:p w14:paraId="1969FB9C" w14:textId="77777777" w:rsidR="00664013" w:rsidRPr="003D7A95" w:rsidRDefault="00664013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11E640F1" w14:textId="77777777" w:rsidR="00664013" w:rsidRPr="003D7A95" w:rsidRDefault="00664013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49560E4B" w14:textId="77777777" w:rsidR="00664013" w:rsidRPr="003D7A95" w:rsidRDefault="00664013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056F1FF0" w14:textId="77777777" w:rsidR="00664013" w:rsidRPr="003D7A95" w:rsidRDefault="00664013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1328FD54" w14:textId="77777777" w:rsidR="00664013" w:rsidRPr="003D7A95" w:rsidRDefault="00664013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68B2967" w14:textId="77777777" w:rsidR="00664013" w:rsidRPr="003D7A95" w:rsidRDefault="00664013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0C04BED" w14:textId="77777777" w:rsidR="00E52922" w:rsidRPr="003D7A95" w:rsidRDefault="00E52922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5C2D91C5" w14:textId="77777777" w:rsidR="00E52922" w:rsidRPr="003D7A95" w:rsidRDefault="00E52922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E5E2F62" w14:textId="7C91993E" w:rsidR="00664013" w:rsidRDefault="00664013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E4CAD39" w14:textId="77777777" w:rsidR="003D2DD0" w:rsidRDefault="003D2DD0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38131CC" w14:textId="361708FD" w:rsidR="003D2DD0" w:rsidRPr="003D7A95" w:rsidRDefault="003D2DD0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DCE/ACE</w:t>
            </w:r>
          </w:p>
        </w:tc>
      </w:tr>
      <w:tr w:rsidR="00E97D4D" w:rsidRPr="003D7A95" w14:paraId="473C6DA7" w14:textId="77777777" w:rsidTr="00E513B2">
        <w:trPr>
          <w:trHeight w:val="773"/>
        </w:trPr>
        <w:tc>
          <w:tcPr>
            <w:tcW w:w="970" w:type="dxa"/>
          </w:tcPr>
          <w:p w14:paraId="3C41D647" w14:textId="77777777" w:rsidR="00E97D4D" w:rsidRPr="003D7A95" w:rsidRDefault="00E97D4D" w:rsidP="009268D5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5" w:type="dxa"/>
          </w:tcPr>
          <w:p w14:paraId="44C638A3" w14:textId="170187B8" w:rsidR="00E97D4D" w:rsidRPr="003D7A95" w:rsidRDefault="00E52922" w:rsidP="0073312B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>The foreign evaluators who</w:t>
            </w:r>
            <w:r w:rsidR="00E97D4D" w:rsidRPr="003D7A95">
              <w:rPr>
                <w:rFonts w:ascii="Times New Roman" w:hAnsi="Times New Roman" w:cs="Times New Roman"/>
                <w:sz w:val="24"/>
              </w:rPr>
              <w:t xml:space="preserve"> cannot physically attend the </w:t>
            </w:r>
            <w:proofErr w:type="spellStart"/>
            <w:r w:rsidR="00E97D4D" w:rsidRPr="003D7A95">
              <w:rPr>
                <w:rFonts w:ascii="Times New Roman" w:hAnsi="Times New Roman" w:cs="Times New Roman"/>
                <w:sz w:val="24"/>
              </w:rPr>
              <w:t>defence</w:t>
            </w:r>
            <w:proofErr w:type="spellEnd"/>
            <w:r w:rsidR="00E97D4D" w:rsidRPr="003D7A95">
              <w:rPr>
                <w:rFonts w:ascii="Times New Roman" w:hAnsi="Times New Roman" w:cs="Times New Roman"/>
                <w:sz w:val="24"/>
              </w:rPr>
              <w:t xml:space="preserve"> proceedings, will be allowed to attend through Skype. Skype connections will be established/tested well before time. Student will communicate exact time of </w:t>
            </w:r>
            <w:proofErr w:type="spellStart"/>
            <w:r w:rsidR="00E97D4D" w:rsidRPr="003D7A95">
              <w:rPr>
                <w:rFonts w:ascii="Times New Roman" w:hAnsi="Times New Roman" w:cs="Times New Roman"/>
                <w:sz w:val="24"/>
              </w:rPr>
              <w:t>defence</w:t>
            </w:r>
            <w:proofErr w:type="spellEnd"/>
            <w:r w:rsidR="00E97D4D" w:rsidRPr="003D7A95">
              <w:rPr>
                <w:rFonts w:ascii="Times New Roman" w:hAnsi="Times New Roman" w:cs="Times New Roman"/>
                <w:sz w:val="24"/>
              </w:rPr>
              <w:t xml:space="preserve"> to the </w:t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foreign evaluators </w:t>
            </w:r>
            <w:r w:rsidR="00E97D4D" w:rsidRPr="003D7A95">
              <w:rPr>
                <w:rFonts w:ascii="Times New Roman" w:hAnsi="Times New Roman" w:cs="Times New Roman"/>
                <w:sz w:val="24"/>
              </w:rPr>
              <w:t>to join the proceedings.</w:t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 It is important to note that this provision is only available for foreign evaluators and all the GEC members and local evaluators have to be physically present at the event. </w:t>
            </w:r>
          </w:p>
          <w:p w14:paraId="03778CB3" w14:textId="77777777" w:rsidR="00E97D4D" w:rsidRPr="003D7A95" w:rsidRDefault="00E97D4D" w:rsidP="0073312B">
            <w:pPr>
              <w:pStyle w:val="ListParagraph"/>
              <w:spacing w:line="360" w:lineRule="auto"/>
              <w:ind w:left="0" w:right="35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C5D6D72" w14:textId="77777777" w:rsidR="00E97D4D" w:rsidRPr="003D7A95" w:rsidRDefault="00E97D4D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>Student/ITS</w:t>
            </w:r>
          </w:p>
        </w:tc>
      </w:tr>
      <w:tr w:rsidR="00E97D4D" w:rsidRPr="003D7A95" w14:paraId="5864C10B" w14:textId="77777777" w:rsidTr="00E513B2">
        <w:trPr>
          <w:trHeight w:val="773"/>
        </w:trPr>
        <w:tc>
          <w:tcPr>
            <w:tcW w:w="970" w:type="dxa"/>
          </w:tcPr>
          <w:p w14:paraId="74478531" w14:textId="77777777" w:rsidR="00E97D4D" w:rsidRPr="003D7A95" w:rsidRDefault="00E97D4D" w:rsidP="00A6128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5" w:type="dxa"/>
          </w:tcPr>
          <w:p w14:paraId="25BF60F5" w14:textId="11F87025" w:rsidR="009268D5" w:rsidRPr="003D7A95" w:rsidRDefault="009268D5" w:rsidP="0073312B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7A95">
              <w:rPr>
                <w:rFonts w:ascii="Times New Roman" w:hAnsi="Times New Roman" w:cs="Times New Roman"/>
                <w:b/>
                <w:sz w:val="24"/>
              </w:rPr>
              <w:t>Final Defense Day Actions</w:t>
            </w:r>
          </w:p>
          <w:p w14:paraId="76CDADB8" w14:textId="77777777" w:rsidR="00E97D4D" w:rsidRPr="003D7A95" w:rsidRDefault="00E97D4D" w:rsidP="0073312B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 xml:space="preserve">30 to 45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mins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 xml:space="preserve"> (max) presentation will be given by the student to the audience.</w:t>
            </w:r>
          </w:p>
          <w:p w14:paraId="1B391DFB" w14:textId="77777777" w:rsidR="009268D5" w:rsidRPr="003D7A95" w:rsidRDefault="009268D5" w:rsidP="009268D5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FF0BE9" w14:textId="77777777" w:rsidR="009268D5" w:rsidRPr="003D7A95" w:rsidRDefault="009268D5" w:rsidP="009268D5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 xml:space="preserve">Final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defence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 xml:space="preserve"> of the student will be attended by all the GEC members, external evaluators, MS &amp; PhD students of SEECS and other colleges/institutes of NUST. Proper attendance of the participants, specially the students,</w:t>
            </w:r>
            <w:r w:rsidRPr="003D7A95">
              <w:rPr>
                <w:rFonts w:ascii="Times New Roman" w:hAnsi="Times New Roman" w:cs="Times New Roman"/>
                <w:sz w:val="24"/>
              </w:rPr>
              <w:br/>
              <w:t xml:space="preserve">will be taken. </w:t>
            </w:r>
          </w:p>
          <w:p w14:paraId="12742578" w14:textId="77777777" w:rsidR="009268D5" w:rsidRPr="003D7A95" w:rsidRDefault="009268D5" w:rsidP="009268D5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509FE8C" w14:textId="77777777" w:rsidR="009268D5" w:rsidRPr="003D7A95" w:rsidRDefault="009268D5" w:rsidP="009268D5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 xml:space="preserve">It will be mandatory for all the PhD students of SEECS to attend the final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defence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 xml:space="preserve">. Students who cannot attend should obtain proper leave from their supvr. However, S.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HoDs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>/supervisors will ensure that leave cases do not exceed more than 10% of total str.</w:t>
            </w:r>
          </w:p>
          <w:p w14:paraId="4B8E7509" w14:textId="77777777" w:rsidR="00E97D4D" w:rsidRPr="003D7A95" w:rsidRDefault="00E97D4D" w:rsidP="0073312B">
            <w:pPr>
              <w:pStyle w:val="ListParagraph"/>
              <w:spacing w:line="360" w:lineRule="auto"/>
              <w:ind w:left="0" w:right="35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9F76980" w14:textId="77777777" w:rsidR="009268D5" w:rsidRPr="003D7A95" w:rsidRDefault="009268D5" w:rsidP="004F33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40AD2906" w14:textId="77777777" w:rsidR="00E97D4D" w:rsidRPr="003D7A95" w:rsidRDefault="00E97D4D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>Student</w:t>
            </w:r>
          </w:p>
          <w:p w14:paraId="4E0B9522" w14:textId="77777777" w:rsidR="009268D5" w:rsidRDefault="009268D5" w:rsidP="004F33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6A17FD27" w14:textId="77777777" w:rsidR="004F33E6" w:rsidRDefault="004F33E6" w:rsidP="004F33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6B4C7A2" w14:textId="77777777" w:rsidR="009268D5" w:rsidRPr="003D7A95" w:rsidRDefault="009268D5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Supvr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 xml:space="preserve">/S.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HoDs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>/ DCE</w:t>
            </w:r>
          </w:p>
          <w:p w14:paraId="005B62B4" w14:textId="77777777" w:rsidR="009268D5" w:rsidRPr="003D7A95" w:rsidRDefault="009268D5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4CE6467E" w14:textId="77777777" w:rsidR="009268D5" w:rsidRPr="003D7A95" w:rsidRDefault="009268D5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92B24F8" w14:textId="77777777" w:rsidR="009268D5" w:rsidRPr="003D7A95" w:rsidRDefault="009268D5" w:rsidP="004F33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4736141C" w14:textId="77777777" w:rsidR="009268D5" w:rsidRPr="003D7A95" w:rsidRDefault="009268D5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00AE6419" w14:textId="77777777" w:rsidR="009268D5" w:rsidRPr="003D7A95" w:rsidRDefault="009268D5" w:rsidP="004F33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D42B21A" w14:textId="42B770EE" w:rsidR="009268D5" w:rsidRPr="003D7A95" w:rsidRDefault="009268D5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 xml:space="preserve">S.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HoDs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 xml:space="preserve">/PhD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Supvrs</w:t>
            </w:r>
            <w:proofErr w:type="spellEnd"/>
          </w:p>
          <w:p w14:paraId="332CCA97" w14:textId="2D651DE8" w:rsidR="009268D5" w:rsidRPr="003D7A95" w:rsidRDefault="009268D5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7D4D" w:rsidRPr="003D7A95" w14:paraId="1C648D52" w14:textId="77777777" w:rsidTr="00E513B2">
        <w:trPr>
          <w:trHeight w:val="929"/>
        </w:trPr>
        <w:tc>
          <w:tcPr>
            <w:tcW w:w="970" w:type="dxa"/>
          </w:tcPr>
          <w:p w14:paraId="2C4EBA0F" w14:textId="77777777" w:rsidR="00E97D4D" w:rsidRPr="003D7A95" w:rsidRDefault="00E97D4D" w:rsidP="00664013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5" w:type="dxa"/>
          </w:tcPr>
          <w:p w14:paraId="63449CFA" w14:textId="77777777" w:rsidR="00E97D4D" w:rsidRPr="003D7A95" w:rsidRDefault="00E97D4D" w:rsidP="0073312B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>After the presentation, there will be two rounds of question/answer. 1</w:t>
            </w:r>
            <w:r w:rsidRPr="003D7A95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 for those attending through Skype and 2</w:t>
            </w:r>
            <w:r w:rsidRPr="003D7A95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 for the GEC members after which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supvr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 xml:space="preserve"> will request audience for any questions. However, question answer session should not exceed more than </w:t>
            </w:r>
            <w:r w:rsidR="00111953" w:rsidRPr="003D7A95">
              <w:rPr>
                <w:rFonts w:ascii="Times New Roman" w:hAnsi="Times New Roman" w:cs="Times New Roman"/>
                <w:sz w:val="24"/>
              </w:rPr>
              <w:t xml:space="preserve">90 </w:t>
            </w:r>
            <w:proofErr w:type="spellStart"/>
            <w:r w:rsidR="00111953" w:rsidRPr="003D7A95">
              <w:rPr>
                <w:rFonts w:ascii="Times New Roman" w:hAnsi="Times New Roman" w:cs="Times New Roman"/>
                <w:sz w:val="24"/>
              </w:rPr>
              <w:t>mins</w:t>
            </w:r>
            <w:proofErr w:type="spellEnd"/>
            <w:r w:rsidR="00111953" w:rsidRPr="003D7A95">
              <w:rPr>
                <w:rFonts w:ascii="Times New Roman" w:hAnsi="Times New Roman" w:cs="Times New Roman"/>
                <w:sz w:val="24"/>
              </w:rPr>
              <w:t>, typically one hr.</w:t>
            </w:r>
          </w:p>
          <w:p w14:paraId="5A470041" w14:textId="77777777" w:rsidR="00E97D4D" w:rsidRPr="003D7A95" w:rsidRDefault="00E97D4D" w:rsidP="0073312B">
            <w:pPr>
              <w:pStyle w:val="ListParagraph"/>
              <w:spacing w:line="360" w:lineRule="auto"/>
              <w:ind w:left="0" w:right="35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0E1AADB" w14:textId="77777777" w:rsidR="00E97D4D" w:rsidRPr="003D7A95" w:rsidRDefault="00E97D4D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Supvr</w:t>
            </w:r>
            <w:proofErr w:type="spellEnd"/>
            <w:r w:rsidR="00691B60" w:rsidRPr="003D7A95">
              <w:rPr>
                <w:rFonts w:ascii="Times New Roman" w:hAnsi="Times New Roman" w:cs="Times New Roman"/>
                <w:sz w:val="24"/>
              </w:rPr>
              <w:t>/GEC</w:t>
            </w:r>
          </w:p>
        </w:tc>
      </w:tr>
      <w:tr w:rsidR="00287555" w:rsidRPr="003D7A95" w14:paraId="28CC51F3" w14:textId="77777777" w:rsidTr="00E513B2">
        <w:trPr>
          <w:trHeight w:val="929"/>
        </w:trPr>
        <w:tc>
          <w:tcPr>
            <w:tcW w:w="970" w:type="dxa"/>
          </w:tcPr>
          <w:p w14:paraId="588E3CB5" w14:textId="77777777" w:rsidR="00287555" w:rsidRPr="003D7A95" w:rsidRDefault="00287555" w:rsidP="00664013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5" w:type="dxa"/>
          </w:tcPr>
          <w:p w14:paraId="63BBD540" w14:textId="77777777" w:rsidR="00287555" w:rsidRPr="003D7A95" w:rsidRDefault="00563A66" w:rsidP="0073312B">
            <w:pPr>
              <w:pStyle w:val="ListParagraph"/>
              <w:spacing w:line="360" w:lineRule="auto"/>
              <w:ind w:left="0" w:right="352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 xml:space="preserve">In order to manage the time, </w:t>
            </w:r>
            <w:r w:rsidR="00287555" w:rsidRPr="003D7A95">
              <w:rPr>
                <w:rFonts w:ascii="Times New Roman" w:hAnsi="Times New Roman" w:cs="Times New Roman"/>
                <w:sz w:val="24"/>
              </w:rPr>
              <w:t xml:space="preserve">supervisor and GEC members will be allowed to ask </w:t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min one and max two </w:t>
            </w:r>
            <w:r w:rsidR="00287555" w:rsidRPr="003D7A95">
              <w:rPr>
                <w:rFonts w:ascii="Times New Roman" w:hAnsi="Times New Roman" w:cs="Times New Roman"/>
                <w:sz w:val="24"/>
              </w:rPr>
              <w:t xml:space="preserve">questions in </w:t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each </w:t>
            </w:r>
            <w:r w:rsidR="00287555" w:rsidRPr="003D7A95">
              <w:rPr>
                <w:rFonts w:ascii="Times New Roman" w:hAnsi="Times New Roman" w:cs="Times New Roman"/>
                <w:sz w:val="24"/>
              </w:rPr>
              <w:t>round.</w:t>
            </w:r>
          </w:p>
          <w:p w14:paraId="37F0EEDD" w14:textId="77777777" w:rsidR="00A61286" w:rsidRPr="003D7A95" w:rsidRDefault="00A61286" w:rsidP="0073312B">
            <w:pPr>
              <w:pStyle w:val="ListParagraph"/>
              <w:spacing w:line="360" w:lineRule="auto"/>
              <w:ind w:left="0" w:right="35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1085C5E" w14:textId="77777777" w:rsidR="00287555" w:rsidRPr="003D7A95" w:rsidRDefault="00691B60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Supvr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>/GEC</w:t>
            </w:r>
          </w:p>
        </w:tc>
      </w:tr>
      <w:tr w:rsidR="00E97D4D" w:rsidRPr="003D7A95" w14:paraId="1389E4C4" w14:textId="77777777" w:rsidTr="00E513B2">
        <w:trPr>
          <w:trHeight w:val="929"/>
        </w:trPr>
        <w:tc>
          <w:tcPr>
            <w:tcW w:w="970" w:type="dxa"/>
          </w:tcPr>
          <w:p w14:paraId="41709BE9" w14:textId="77777777" w:rsidR="00E97D4D" w:rsidRPr="003D7A95" w:rsidRDefault="00E97D4D" w:rsidP="00664013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5" w:type="dxa"/>
          </w:tcPr>
          <w:p w14:paraId="181A222C" w14:textId="77777777" w:rsidR="00E97D4D" w:rsidRPr="003D7A95" w:rsidRDefault="00E97D4D" w:rsidP="0073312B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 xml:space="preserve">After question/answer session, student and other participants will be requested to leave the </w:t>
            </w:r>
            <w:r w:rsidR="00563A66" w:rsidRPr="003D7A95">
              <w:rPr>
                <w:rFonts w:ascii="Times New Roman" w:hAnsi="Times New Roman" w:cs="Times New Roman"/>
                <w:sz w:val="24"/>
              </w:rPr>
              <w:t>venue</w:t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. After which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Defence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 xml:space="preserve"> Committee will decide the result by majority vote in the presence of Presiden</w:t>
            </w:r>
            <w:r w:rsidR="0073312B" w:rsidRPr="003D7A95">
              <w:rPr>
                <w:rFonts w:ascii="Times New Roman" w:hAnsi="Times New Roman" w:cs="Times New Roman"/>
                <w:sz w:val="24"/>
              </w:rPr>
              <w:t>t and other concerned including</w:t>
            </w:r>
            <w:r w:rsidR="0073312B" w:rsidRPr="003D7A95">
              <w:rPr>
                <w:rFonts w:ascii="Times New Roman" w:hAnsi="Times New Roman" w:cs="Times New Roman"/>
                <w:sz w:val="24"/>
              </w:rPr>
              <w:br/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S.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HoD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 xml:space="preserve"> and DCE. </w:t>
            </w:r>
          </w:p>
          <w:p w14:paraId="3D9DB45F" w14:textId="77777777" w:rsidR="00E97D4D" w:rsidRPr="003D7A95" w:rsidRDefault="00E97D4D" w:rsidP="0073312B">
            <w:pPr>
              <w:pStyle w:val="ListParagraph"/>
              <w:spacing w:line="360" w:lineRule="auto"/>
              <w:ind w:left="0" w:right="35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61D77CD" w14:textId="06BA6D4D" w:rsidR="00E97D4D" w:rsidRPr="003D7A95" w:rsidRDefault="00E97D4D" w:rsidP="000261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Supvr</w:t>
            </w:r>
            <w:proofErr w:type="spellEnd"/>
            <w:r w:rsidR="00664013" w:rsidRPr="003D7A95">
              <w:rPr>
                <w:rFonts w:ascii="Times New Roman" w:hAnsi="Times New Roman" w:cs="Times New Roman"/>
                <w:sz w:val="24"/>
              </w:rPr>
              <w:t xml:space="preserve">/ GEC </w:t>
            </w:r>
            <w:proofErr w:type="spellStart"/>
            <w:r w:rsidR="00664013" w:rsidRPr="003D7A95">
              <w:rPr>
                <w:rFonts w:ascii="Times New Roman" w:hAnsi="Times New Roman" w:cs="Times New Roman"/>
                <w:sz w:val="24"/>
              </w:rPr>
              <w:t>SH</w:t>
            </w:r>
            <w:r w:rsidR="000261B9">
              <w:rPr>
                <w:rFonts w:ascii="Times New Roman" w:hAnsi="Times New Roman" w:cs="Times New Roman"/>
                <w:sz w:val="24"/>
              </w:rPr>
              <w:t>o</w:t>
            </w:r>
            <w:r w:rsidR="00664013" w:rsidRPr="003D7A95">
              <w:rPr>
                <w:rFonts w:ascii="Times New Roman" w:hAnsi="Times New Roman" w:cs="Times New Roman"/>
                <w:sz w:val="24"/>
              </w:rPr>
              <w:t>D</w:t>
            </w:r>
            <w:proofErr w:type="spellEnd"/>
            <w:r w:rsidR="00664013" w:rsidRPr="003D7A95">
              <w:rPr>
                <w:rFonts w:ascii="Times New Roman" w:hAnsi="Times New Roman" w:cs="Times New Roman"/>
                <w:sz w:val="24"/>
              </w:rPr>
              <w:t>/ DCE</w:t>
            </w:r>
          </w:p>
        </w:tc>
      </w:tr>
      <w:tr w:rsidR="00E97D4D" w:rsidRPr="003D7A95" w14:paraId="604E6F4B" w14:textId="77777777" w:rsidTr="00E513B2">
        <w:trPr>
          <w:trHeight w:val="929"/>
        </w:trPr>
        <w:tc>
          <w:tcPr>
            <w:tcW w:w="970" w:type="dxa"/>
          </w:tcPr>
          <w:p w14:paraId="2C19FF42" w14:textId="77777777" w:rsidR="00E97D4D" w:rsidRPr="003D7A95" w:rsidRDefault="00E97D4D" w:rsidP="00664013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5" w:type="dxa"/>
          </w:tcPr>
          <w:p w14:paraId="7C624876" w14:textId="29E56F7E" w:rsidR="00E97D4D" w:rsidRPr="003D7A95" w:rsidRDefault="00E97D4D" w:rsidP="0073312B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>Student will be called back and result will be communicated to him</w:t>
            </w:r>
            <w:r w:rsidR="00E84AA6" w:rsidRPr="003D7A95">
              <w:rPr>
                <w:rFonts w:ascii="Times New Roman" w:hAnsi="Times New Roman" w:cs="Times New Roman"/>
                <w:sz w:val="24"/>
              </w:rPr>
              <w:t>/her</w:t>
            </w:r>
            <w:r w:rsidR="00664013" w:rsidRPr="003D7A95">
              <w:rPr>
                <w:rFonts w:ascii="Times New Roman" w:hAnsi="Times New Roman" w:cs="Times New Roman"/>
                <w:sz w:val="24"/>
              </w:rPr>
              <w:t xml:space="preserve"> by GEC</w:t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. In case of successful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defence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>, he</w:t>
            </w:r>
            <w:r w:rsidR="00E84AA6" w:rsidRPr="003D7A95">
              <w:rPr>
                <w:rFonts w:ascii="Times New Roman" w:hAnsi="Times New Roman" w:cs="Times New Roman"/>
                <w:sz w:val="24"/>
              </w:rPr>
              <w:t>/she</w:t>
            </w:r>
            <w:r w:rsidRPr="003D7A95">
              <w:rPr>
                <w:rFonts w:ascii="Times New Roman" w:hAnsi="Times New Roman" w:cs="Times New Roman"/>
                <w:sz w:val="24"/>
              </w:rPr>
              <w:t xml:space="preserve"> will be congratulated and presented bouquet. </w:t>
            </w:r>
            <w:r w:rsidR="00464903" w:rsidRPr="003D7A95">
              <w:rPr>
                <w:rFonts w:ascii="Times New Roman" w:hAnsi="Times New Roman" w:cs="Times New Roman"/>
                <w:sz w:val="24"/>
              </w:rPr>
              <w:t>In case consider</w:t>
            </w:r>
            <w:r w:rsidR="00A91502">
              <w:rPr>
                <w:rFonts w:ascii="Times New Roman" w:hAnsi="Times New Roman" w:cs="Times New Roman"/>
                <w:sz w:val="24"/>
              </w:rPr>
              <w:t>ed</w:t>
            </w:r>
            <w:r w:rsidR="00464903" w:rsidRPr="003D7A95">
              <w:rPr>
                <w:rFonts w:ascii="Times New Roman" w:hAnsi="Times New Roman" w:cs="Times New Roman"/>
                <w:sz w:val="24"/>
              </w:rPr>
              <w:t xml:space="preserve"> unsuccessful the details will be given to student’s supervisor</w:t>
            </w:r>
            <w:r w:rsidR="00474067" w:rsidRPr="003D7A95">
              <w:rPr>
                <w:rFonts w:ascii="Times New Roman" w:hAnsi="Times New Roman" w:cs="Times New Roman"/>
                <w:sz w:val="24"/>
              </w:rPr>
              <w:t>.</w:t>
            </w:r>
          </w:p>
          <w:p w14:paraId="6182CDA0" w14:textId="77777777" w:rsidR="00E97D4D" w:rsidRPr="003D7A95" w:rsidRDefault="00E97D4D" w:rsidP="0073312B">
            <w:pPr>
              <w:pStyle w:val="ListParagraph"/>
              <w:spacing w:line="360" w:lineRule="auto"/>
              <w:ind w:left="0" w:right="35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2176F94" w14:textId="77777777" w:rsidR="00E97D4D" w:rsidRPr="003D7A95" w:rsidRDefault="00E97D4D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Supvr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>/Principal</w:t>
            </w:r>
            <w:r w:rsidR="0009428B" w:rsidRPr="003D7A95">
              <w:rPr>
                <w:rFonts w:ascii="Times New Roman" w:hAnsi="Times New Roman" w:cs="Times New Roman"/>
                <w:sz w:val="24"/>
              </w:rPr>
              <w:t>/</w:t>
            </w:r>
          </w:p>
          <w:p w14:paraId="082075A8" w14:textId="197F6829" w:rsidR="0009428B" w:rsidRPr="003D7A95" w:rsidRDefault="0009428B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 xml:space="preserve">DD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Adm</w:t>
            </w:r>
            <w:proofErr w:type="spellEnd"/>
            <w:r w:rsidR="00464903" w:rsidRPr="003D7A95">
              <w:rPr>
                <w:rFonts w:ascii="Times New Roman" w:hAnsi="Times New Roman" w:cs="Times New Roman"/>
                <w:sz w:val="24"/>
              </w:rPr>
              <w:t>/GEC</w:t>
            </w:r>
          </w:p>
        </w:tc>
      </w:tr>
      <w:tr w:rsidR="00E97D4D" w:rsidRPr="003D7A95" w14:paraId="6763C924" w14:textId="77777777" w:rsidTr="00E513B2">
        <w:trPr>
          <w:trHeight w:val="706"/>
        </w:trPr>
        <w:tc>
          <w:tcPr>
            <w:tcW w:w="970" w:type="dxa"/>
          </w:tcPr>
          <w:p w14:paraId="3C10721A" w14:textId="77777777" w:rsidR="00E97D4D" w:rsidRPr="003D7A95" w:rsidRDefault="00E97D4D" w:rsidP="00664013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5" w:type="dxa"/>
          </w:tcPr>
          <w:p w14:paraId="5DF631D3" w14:textId="77777777" w:rsidR="00E97D4D" w:rsidRPr="003D7A95" w:rsidRDefault="00E97D4D" w:rsidP="0073312B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>Refreshments will be served to all the participants.</w:t>
            </w:r>
          </w:p>
          <w:p w14:paraId="48E25873" w14:textId="77777777" w:rsidR="00E97D4D" w:rsidRPr="003D7A95" w:rsidRDefault="00E97D4D" w:rsidP="0073312B">
            <w:pPr>
              <w:pStyle w:val="ListParagraph"/>
              <w:spacing w:line="360" w:lineRule="auto"/>
              <w:ind w:left="0" w:right="35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E6803BA" w14:textId="77777777" w:rsidR="00E97D4D" w:rsidRPr="003D7A95" w:rsidRDefault="00E97D4D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 xml:space="preserve">DD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Adm</w:t>
            </w:r>
            <w:proofErr w:type="spellEnd"/>
          </w:p>
        </w:tc>
      </w:tr>
      <w:tr w:rsidR="00E97D4D" w:rsidRPr="003D7A95" w14:paraId="3A4C77AE" w14:textId="77777777" w:rsidTr="00E513B2">
        <w:trPr>
          <w:trHeight w:val="689"/>
        </w:trPr>
        <w:tc>
          <w:tcPr>
            <w:tcW w:w="970" w:type="dxa"/>
          </w:tcPr>
          <w:p w14:paraId="7A284A5C" w14:textId="77777777" w:rsidR="00E97D4D" w:rsidRPr="003D7A95" w:rsidRDefault="00E97D4D" w:rsidP="00664013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5" w:type="dxa"/>
          </w:tcPr>
          <w:p w14:paraId="76B994EB" w14:textId="77777777" w:rsidR="00E97D4D" w:rsidRPr="003D7A95" w:rsidRDefault="00E97D4D" w:rsidP="0073312B">
            <w:pPr>
              <w:pStyle w:val="ListParagraph"/>
              <w:spacing w:line="360" w:lineRule="auto"/>
              <w:ind w:left="0" w:right="352"/>
              <w:jc w:val="both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 xml:space="preserve">Student will complete all the paper work within 07x days of final 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defence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>.</w:t>
            </w:r>
          </w:p>
          <w:p w14:paraId="4892F1FB" w14:textId="77777777" w:rsidR="00E97D4D" w:rsidRPr="003D7A95" w:rsidRDefault="00E97D4D" w:rsidP="0073312B">
            <w:pPr>
              <w:pStyle w:val="ListParagraph"/>
              <w:spacing w:line="360" w:lineRule="auto"/>
              <w:ind w:left="0" w:right="35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485A18B4" w14:textId="77777777" w:rsidR="00E97D4D" w:rsidRPr="003D7A95" w:rsidRDefault="00E97D4D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>Student/</w:t>
            </w:r>
            <w:proofErr w:type="spellStart"/>
            <w:r w:rsidRPr="003D7A95">
              <w:rPr>
                <w:rFonts w:ascii="Times New Roman" w:hAnsi="Times New Roman" w:cs="Times New Roman"/>
                <w:sz w:val="24"/>
              </w:rPr>
              <w:t>Supvr</w:t>
            </w:r>
            <w:proofErr w:type="spellEnd"/>
            <w:r w:rsidRPr="003D7A95">
              <w:rPr>
                <w:rFonts w:ascii="Times New Roman" w:hAnsi="Times New Roman" w:cs="Times New Roman"/>
                <w:sz w:val="24"/>
              </w:rPr>
              <w:t>/</w:t>
            </w:r>
          </w:p>
          <w:p w14:paraId="43728828" w14:textId="77777777" w:rsidR="00E97D4D" w:rsidRPr="003D7A95" w:rsidRDefault="00E97D4D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>ACB/</w:t>
            </w:r>
          </w:p>
          <w:p w14:paraId="1BDE4D69" w14:textId="77777777" w:rsidR="00E97D4D" w:rsidRPr="003D7A95" w:rsidRDefault="00E97D4D" w:rsidP="00A45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D7A95">
              <w:rPr>
                <w:rFonts w:ascii="Times New Roman" w:hAnsi="Times New Roman" w:cs="Times New Roman"/>
                <w:sz w:val="24"/>
              </w:rPr>
              <w:t>Exam Branch</w:t>
            </w:r>
          </w:p>
        </w:tc>
      </w:tr>
    </w:tbl>
    <w:p w14:paraId="22983371" w14:textId="77777777" w:rsidR="0081513F" w:rsidRPr="003D7A95" w:rsidRDefault="0081513F" w:rsidP="00A41E67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14:paraId="43FA38BD" w14:textId="77777777" w:rsidR="00A61286" w:rsidRPr="003D7A95" w:rsidRDefault="00A61286">
      <w:pPr>
        <w:rPr>
          <w:rFonts w:ascii="Times New Roman" w:hAnsi="Times New Roman" w:cs="Times New Roman"/>
          <w:b/>
          <w:sz w:val="24"/>
        </w:rPr>
      </w:pPr>
    </w:p>
    <w:sectPr w:rsidR="00A61286" w:rsidRPr="003D7A95" w:rsidSect="0087304F">
      <w:pgSz w:w="12240" w:h="15840"/>
      <w:pgMar w:top="720" w:right="1440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CDC"/>
    <w:multiLevelType w:val="hybridMultilevel"/>
    <w:tmpl w:val="9B3E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B312A"/>
    <w:multiLevelType w:val="hybridMultilevel"/>
    <w:tmpl w:val="850A3F4C"/>
    <w:lvl w:ilvl="0" w:tplc="F2C88C30">
      <w:start w:val="2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4050"/>
    <w:multiLevelType w:val="hybridMultilevel"/>
    <w:tmpl w:val="217AC518"/>
    <w:lvl w:ilvl="0" w:tplc="C3BA7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A2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E3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826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25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C6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3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C5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41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4297B"/>
    <w:multiLevelType w:val="hybridMultilevel"/>
    <w:tmpl w:val="82B8725C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8DA1692"/>
    <w:multiLevelType w:val="hybridMultilevel"/>
    <w:tmpl w:val="2760D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22E11"/>
    <w:multiLevelType w:val="hybridMultilevel"/>
    <w:tmpl w:val="FDE025C8"/>
    <w:lvl w:ilvl="0" w:tplc="BD3E9D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651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28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A7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6079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40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401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4D4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89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E24502"/>
    <w:multiLevelType w:val="hybridMultilevel"/>
    <w:tmpl w:val="6764C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83D4A"/>
    <w:multiLevelType w:val="hybridMultilevel"/>
    <w:tmpl w:val="00F044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F0878"/>
    <w:multiLevelType w:val="hybridMultilevel"/>
    <w:tmpl w:val="3ED25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22420"/>
    <w:multiLevelType w:val="hybridMultilevel"/>
    <w:tmpl w:val="23B2EC6E"/>
    <w:lvl w:ilvl="0" w:tplc="04090019">
      <w:start w:val="1"/>
      <w:numFmt w:val="lowerLetter"/>
      <w:lvlText w:val="%1."/>
      <w:lvlJc w:val="left"/>
      <w:pPr>
        <w:ind w:left="1906" w:hanging="360"/>
      </w:pPr>
    </w:lvl>
    <w:lvl w:ilvl="1" w:tplc="04090019" w:tentative="1">
      <w:start w:val="1"/>
      <w:numFmt w:val="lowerLetter"/>
      <w:lvlText w:val="%2."/>
      <w:lvlJc w:val="left"/>
      <w:pPr>
        <w:ind w:left="2626" w:hanging="360"/>
      </w:pPr>
    </w:lvl>
    <w:lvl w:ilvl="2" w:tplc="0409001B" w:tentative="1">
      <w:start w:val="1"/>
      <w:numFmt w:val="lowerRoman"/>
      <w:lvlText w:val="%3."/>
      <w:lvlJc w:val="right"/>
      <w:pPr>
        <w:ind w:left="3346" w:hanging="180"/>
      </w:pPr>
    </w:lvl>
    <w:lvl w:ilvl="3" w:tplc="0409000F" w:tentative="1">
      <w:start w:val="1"/>
      <w:numFmt w:val="decimal"/>
      <w:lvlText w:val="%4."/>
      <w:lvlJc w:val="left"/>
      <w:pPr>
        <w:ind w:left="4066" w:hanging="360"/>
      </w:pPr>
    </w:lvl>
    <w:lvl w:ilvl="4" w:tplc="04090019" w:tentative="1">
      <w:start w:val="1"/>
      <w:numFmt w:val="lowerLetter"/>
      <w:lvlText w:val="%5."/>
      <w:lvlJc w:val="left"/>
      <w:pPr>
        <w:ind w:left="4786" w:hanging="360"/>
      </w:pPr>
    </w:lvl>
    <w:lvl w:ilvl="5" w:tplc="0409001B" w:tentative="1">
      <w:start w:val="1"/>
      <w:numFmt w:val="lowerRoman"/>
      <w:lvlText w:val="%6."/>
      <w:lvlJc w:val="right"/>
      <w:pPr>
        <w:ind w:left="5506" w:hanging="180"/>
      </w:pPr>
    </w:lvl>
    <w:lvl w:ilvl="6" w:tplc="0409000F" w:tentative="1">
      <w:start w:val="1"/>
      <w:numFmt w:val="decimal"/>
      <w:lvlText w:val="%7."/>
      <w:lvlJc w:val="left"/>
      <w:pPr>
        <w:ind w:left="6226" w:hanging="360"/>
      </w:pPr>
    </w:lvl>
    <w:lvl w:ilvl="7" w:tplc="04090019" w:tentative="1">
      <w:start w:val="1"/>
      <w:numFmt w:val="lowerLetter"/>
      <w:lvlText w:val="%8."/>
      <w:lvlJc w:val="left"/>
      <w:pPr>
        <w:ind w:left="6946" w:hanging="360"/>
      </w:pPr>
    </w:lvl>
    <w:lvl w:ilvl="8" w:tplc="0409001B" w:tentative="1">
      <w:start w:val="1"/>
      <w:numFmt w:val="lowerRoman"/>
      <w:lvlText w:val="%9."/>
      <w:lvlJc w:val="right"/>
      <w:pPr>
        <w:ind w:left="766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67"/>
    <w:rsid w:val="000261B9"/>
    <w:rsid w:val="000519F0"/>
    <w:rsid w:val="00071B7B"/>
    <w:rsid w:val="00087086"/>
    <w:rsid w:val="0009428B"/>
    <w:rsid w:val="000C1FA8"/>
    <w:rsid w:val="000C2D0A"/>
    <w:rsid w:val="00111953"/>
    <w:rsid w:val="00167B2A"/>
    <w:rsid w:val="00287555"/>
    <w:rsid w:val="002D01CA"/>
    <w:rsid w:val="002F182C"/>
    <w:rsid w:val="00371B00"/>
    <w:rsid w:val="003D2DD0"/>
    <w:rsid w:val="003D7A95"/>
    <w:rsid w:val="00412F84"/>
    <w:rsid w:val="00464903"/>
    <w:rsid w:val="00474067"/>
    <w:rsid w:val="004E5970"/>
    <w:rsid w:val="004F33E6"/>
    <w:rsid w:val="00563A66"/>
    <w:rsid w:val="00583207"/>
    <w:rsid w:val="005C7701"/>
    <w:rsid w:val="005E4D5C"/>
    <w:rsid w:val="005E7925"/>
    <w:rsid w:val="00652EBD"/>
    <w:rsid w:val="00664013"/>
    <w:rsid w:val="00691B60"/>
    <w:rsid w:val="006E140B"/>
    <w:rsid w:val="0073312B"/>
    <w:rsid w:val="00773C9D"/>
    <w:rsid w:val="007A696C"/>
    <w:rsid w:val="007A712C"/>
    <w:rsid w:val="007C1D6D"/>
    <w:rsid w:val="007E554D"/>
    <w:rsid w:val="0081513F"/>
    <w:rsid w:val="00822FEC"/>
    <w:rsid w:val="008701B5"/>
    <w:rsid w:val="0087304F"/>
    <w:rsid w:val="008C749E"/>
    <w:rsid w:val="009268D5"/>
    <w:rsid w:val="00A36F80"/>
    <w:rsid w:val="00A41E67"/>
    <w:rsid w:val="00A45C79"/>
    <w:rsid w:val="00A61286"/>
    <w:rsid w:val="00A83B4D"/>
    <w:rsid w:val="00A91502"/>
    <w:rsid w:val="00AD0D2B"/>
    <w:rsid w:val="00AE6D14"/>
    <w:rsid w:val="00B93784"/>
    <w:rsid w:val="00C00D9C"/>
    <w:rsid w:val="00C12A80"/>
    <w:rsid w:val="00C77BC0"/>
    <w:rsid w:val="00C91493"/>
    <w:rsid w:val="00CA64E2"/>
    <w:rsid w:val="00CF530E"/>
    <w:rsid w:val="00D115B5"/>
    <w:rsid w:val="00DA257D"/>
    <w:rsid w:val="00E513B2"/>
    <w:rsid w:val="00E52922"/>
    <w:rsid w:val="00E53894"/>
    <w:rsid w:val="00E66EF2"/>
    <w:rsid w:val="00E67E09"/>
    <w:rsid w:val="00E84AA6"/>
    <w:rsid w:val="00E922AF"/>
    <w:rsid w:val="00E97D4D"/>
    <w:rsid w:val="00EF1918"/>
    <w:rsid w:val="00F076EA"/>
    <w:rsid w:val="00FB1461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6C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67"/>
    <w:pPr>
      <w:ind w:left="720"/>
      <w:contextualSpacing/>
    </w:pPr>
  </w:style>
  <w:style w:type="table" w:styleId="TableGrid">
    <w:name w:val="Table Grid"/>
    <w:basedOn w:val="TableNormal"/>
    <w:uiPriority w:val="59"/>
    <w:rsid w:val="00A41E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67"/>
    <w:pPr>
      <w:ind w:left="720"/>
      <w:contextualSpacing/>
    </w:pPr>
  </w:style>
  <w:style w:type="table" w:styleId="TableGrid">
    <w:name w:val="Table Grid"/>
    <w:basedOn w:val="TableNormal"/>
    <w:uiPriority w:val="59"/>
    <w:rsid w:val="00A41E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151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64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77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50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5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MARehman</cp:lastModifiedBy>
  <cp:revision>3</cp:revision>
  <cp:lastPrinted>2019-05-15T06:15:00Z</cp:lastPrinted>
  <dcterms:created xsi:type="dcterms:W3CDTF">2019-05-15T06:24:00Z</dcterms:created>
  <dcterms:modified xsi:type="dcterms:W3CDTF">2019-05-15T06:25:00Z</dcterms:modified>
</cp:coreProperties>
</file>